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A79E2" w14:textId="0CAB658F" w:rsidR="00540C4F" w:rsidRPr="00CB580F" w:rsidRDefault="00540C4F" w:rsidP="00540C4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CB580F">
        <w:rPr>
          <w:rFonts w:ascii="Arial" w:eastAsia="SimSun" w:hAnsi="Arial" w:cs="Times New Roman"/>
          <w:b/>
          <w:bCs/>
          <w:sz w:val="24"/>
          <w:szCs w:val="24"/>
          <w:lang w:val="en-GB"/>
        </w:rPr>
        <w:t>3GPP T</w:t>
      </w:r>
      <w:bookmarkStart w:id="2" w:name="_Ref452454252"/>
      <w:bookmarkEnd w:id="2"/>
      <w:r w:rsidRPr="00CB580F">
        <w:rPr>
          <w:rFonts w:ascii="Arial" w:eastAsia="SimSun" w:hAnsi="Arial" w:cs="Times New Roman"/>
          <w:b/>
          <w:bCs/>
          <w:sz w:val="24"/>
          <w:szCs w:val="24"/>
          <w:lang w:val="en-GB"/>
        </w:rPr>
        <w:t xml:space="preserve">SG-RAN WG4 Meeting #94-e                </w:t>
      </w:r>
      <w:r w:rsidRPr="00CB580F">
        <w:rPr>
          <w:rFonts w:ascii="Arial" w:eastAsia="SimSun" w:hAnsi="Arial" w:cs="Times New Roman"/>
          <w:b/>
          <w:bCs/>
          <w:sz w:val="24"/>
          <w:szCs w:val="20"/>
          <w:lang w:val="en-GB"/>
        </w:rPr>
        <w:tab/>
      </w:r>
      <w:r w:rsidR="00CB580F" w:rsidRPr="00CB580F">
        <w:rPr>
          <w:rFonts w:ascii="Arial" w:eastAsia="SimSun" w:hAnsi="Arial" w:cs="Times New Roman"/>
          <w:b/>
          <w:bCs/>
          <w:sz w:val="24"/>
          <w:szCs w:val="24"/>
          <w:lang w:val="en-GB" w:eastAsia="ja-JP"/>
        </w:rPr>
        <w:t>R4-2001438</w:t>
      </w:r>
    </w:p>
    <w:bookmarkEnd w:id="0"/>
    <w:bookmarkEnd w:id="1"/>
    <w:p w14:paraId="5242B40F" w14:textId="77777777" w:rsidR="00540C4F" w:rsidRPr="003B4FC5" w:rsidRDefault="00540C4F" w:rsidP="00540C4F">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CB580F">
        <w:rPr>
          <w:rFonts w:ascii="Arial" w:eastAsia="SimSun" w:hAnsi="Arial" w:cs="Times New Roman"/>
          <w:b/>
          <w:sz w:val="24"/>
          <w:szCs w:val="20"/>
        </w:rPr>
        <w:t>Online, February 24</w:t>
      </w:r>
      <w:r w:rsidRPr="00CB580F">
        <w:rPr>
          <w:rFonts w:ascii="Arial" w:eastAsia="SimSun" w:hAnsi="Arial" w:cs="Times New Roman"/>
          <w:b/>
          <w:sz w:val="24"/>
          <w:szCs w:val="20"/>
          <w:vertAlign w:val="superscript"/>
        </w:rPr>
        <w:t>th</w:t>
      </w:r>
      <w:r w:rsidRPr="00CB580F">
        <w:rPr>
          <w:rFonts w:ascii="Arial" w:eastAsia="SimSun" w:hAnsi="Arial" w:cs="Times New Roman"/>
          <w:b/>
          <w:sz w:val="24"/>
          <w:szCs w:val="20"/>
        </w:rPr>
        <w:t xml:space="preserve"> – March 6</w:t>
      </w:r>
      <w:r w:rsidRPr="00CB580F">
        <w:rPr>
          <w:rFonts w:ascii="Arial" w:eastAsia="SimSun" w:hAnsi="Arial" w:cs="Times New Roman"/>
          <w:b/>
          <w:sz w:val="24"/>
          <w:szCs w:val="20"/>
          <w:vertAlign w:val="superscript"/>
        </w:rPr>
        <w:t>th</w:t>
      </w:r>
      <w:r w:rsidRPr="00CB580F">
        <w:rPr>
          <w:rFonts w:ascii="Arial" w:eastAsia="SimSun" w:hAnsi="Arial" w:cs="Times New Roman"/>
          <w:b/>
          <w:sz w:val="24"/>
          <w:szCs w:val="20"/>
        </w:rPr>
        <w:t>, 2020</w:t>
      </w:r>
    </w:p>
    <w:p w14:paraId="458FF23B" w14:textId="3CCAA7F7" w:rsidR="000C56C0" w:rsidRPr="003B4FC5" w:rsidRDefault="000C56C0" w:rsidP="000C56C0">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6CA621BC"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96210F">
        <w:rPr>
          <w:rFonts w:ascii="Arial" w:eastAsia="Calibri" w:hAnsi="Arial" w:cs="Arial"/>
          <w:b/>
          <w:bCs/>
          <w:sz w:val="24"/>
        </w:rPr>
        <w:t>On</w:t>
      </w:r>
      <w:r w:rsidR="00265102">
        <w:rPr>
          <w:rFonts w:ascii="Arial" w:eastAsia="Calibri" w:hAnsi="Arial" w:cs="Arial"/>
          <w:b/>
          <w:bCs/>
          <w:sz w:val="24"/>
        </w:rPr>
        <w:t xml:space="preserve"> </w:t>
      </w:r>
      <w:r w:rsidR="00C53BF0">
        <w:rPr>
          <w:rFonts w:ascii="Arial" w:eastAsia="Calibri" w:hAnsi="Arial" w:cs="Arial"/>
          <w:b/>
          <w:bCs/>
          <w:sz w:val="24"/>
        </w:rPr>
        <w:t>cell re-selection</w:t>
      </w:r>
      <w:r w:rsidR="0096210F">
        <w:rPr>
          <w:rFonts w:ascii="Arial" w:eastAsia="Calibri" w:hAnsi="Arial" w:cs="Arial"/>
          <w:b/>
          <w:bCs/>
          <w:sz w:val="24"/>
        </w:rPr>
        <w:t xml:space="preserve"> requirements</w:t>
      </w:r>
      <w:r w:rsidR="00C53BF0">
        <w:rPr>
          <w:rFonts w:ascii="Arial" w:eastAsia="Calibri" w:hAnsi="Arial" w:cs="Arial"/>
          <w:b/>
          <w:bCs/>
          <w:sz w:val="24"/>
        </w:rPr>
        <w:t xml:space="preserve"> in NR-U</w:t>
      </w:r>
    </w:p>
    <w:p w14:paraId="3C35320A" w14:textId="3FF5F758" w:rsidR="000E23A6" w:rsidRPr="0096210F" w:rsidRDefault="000E23A6" w:rsidP="000E23A6">
      <w:pPr>
        <w:tabs>
          <w:tab w:val="left" w:pos="1985"/>
        </w:tabs>
        <w:spacing w:after="120" w:line="240" w:lineRule="auto"/>
        <w:jc w:val="both"/>
        <w:rPr>
          <w:rFonts w:ascii="Arial" w:eastAsia="MS Mincho" w:hAnsi="Arial" w:cs="Arial"/>
          <w:b/>
          <w:bCs/>
          <w:sz w:val="24"/>
          <w:szCs w:val="20"/>
          <w:lang w:val="en-GB"/>
        </w:rPr>
      </w:pPr>
      <w:r w:rsidRPr="0096210F">
        <w:rPr>
          <w:rFonts w:ascii="Arial" w:eastAsia="MS Mincho" w:hAnsi="Arial" w:cs="Arial"/>
          <w:b/>
          <w:bCs/>
          <w:sz w:val="24"/>
          <w:szCs w:val="20"/>
          <w:lang w:val="en-GB"/>
        </w:rPr>
        <w:t>Agenda item:</w:t>
      </w:r>
      <w:r w:rsidRPr="0096210F">
        <w:rPr>
          <w:rFonts w:ascii="Arial" w:eastAsia="MS Mincho" w:hAnsi="Arial" w:cs="Arial"/>
          <w:b/>
          <w:bCs/>
          <w:sz w:val="24"/>
          <w:szCs w:val="20"/>
          <w:lang w:val="en-GB"/>
        </w:rPr>
        <w:tab/>
      </w:r>
      <w:r w:rsidR="000A5490" w:rsidRPr="0096210F">
        <w:rPr>
          <w:rFonts w:ascii="Arial" w:eastAsia="MS Mincho" w:hAnsi="Arial" w:cs="Arial"/>
          <w:b/>
          <w:bCs/>
          <w:sz w:val="24"/>
          <w:szCs w:val="20"/>
          <w:lang w:val="en-GB"/>
        </w:rPr>
        <w:t>8.1.4.1</w:t>
      </w:r>
    </w:p>
    <w:p w14:paraId="5FCD8CC3" w14:textId="02570F67" w:rsidR="000E23A6" w:rsidRPr="0096210F" w:rsidRDefault="000E23A6" w:rsidP="000E23A6">
      <w:pPr>
        <w:tabs>
          <w:tab w:val="left" w:pos="1985"/>
        </w:tabs>
        <w:jc w:val="both"/>
        <w:rPr>
          <w:rFonts w:ascii="Arial" w:eastAsia="Calibri" w:hAnsi="Arial" w:cs="Arial"/>
          <w:b/>
          <w:bCs/>
          <w:sz w:val="24"/>
          <w:lang w:val="en-GB"/>
        </w:rPr>
      </w:pPr>
      <w:r w:rsidRPr="0096210F">
        <w:rPr>
          <w:rFonts w:ascii="Arial" w:eastAsia="Calibri" w:hAnsi="Arial" w:cs="Arial"/>
          <w:b/>
          <w:bCs/>
          <w:sz w:val="24"/>
          <w:lang w:val="en-GB"/>
        </w:rPr>
        <w:t>Document for:</w:t>
      </w:r>
      <w:r w:rsidRPr="0096210F">
        <w:rPr>
          <w:rFonts w:ascii="Arial" w:eastAsia="Calibri" w:hAnsi="Arial" w:cs="Arial"/>
          <w:b/>
          <w:bCs/>
          <w:sz w:val="24"/>
          <w:lang w:val="en-GB"/>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832CC51" w14:textId="4D8A9D71" w:rsidR="00404AE4" w:rsidRDefault="00404AE4" w:rsidP="00404AE4">
      <w:r w:rsidRPr="00202C34">
        <w:rPr>
          <w:rFonts w:eastAsiaTheme="minorEastAsia"/>
          <w:noProof/>
          <w:lang w:eastAsia="zh-CN"/>
        </w:rPr>
        <mc:AlternateContent>
          <mc:Choice Requires="wps">
            <w:drawing>
              <wp:anchor distT="45720" distB="45720" distL="114300" distR="114300" simplePos="0" relativeHeight="251661312" behindDoc="0" locked="0" layoutInCell="1" allowOverlap="1" wp14:anchorId="7D37CF30" wp14:editId="19430E33">
                <wp:simplePos x="0" y="0"/>
                <wp:positionH relativeFrom="margin">
                  <wp:posOffset>-80010</wp:posOffset>
                </wp:positionH>
                <wp:positionV relativeFrom="paragraph">
                  <wp:posOffset>284480</wp:posOffset>
                </wp:positionV>
                <wp:extent cx="6086475" cy="946150"/>
                <wp:effectExtent l="0" t="0" r="2857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946150"/>
                        </a:xfrm>
                        <a:prstGeom prst="rect">
                          <a:avLst/>
                        </a:prstGeom>
                        <a:solidFill>
                          <a:srgbClr val="FFFFFF"/>
                        </a:solidFill>
                        <a:ln w="9525">
                          <a:solidFill>
                            <a:srgbClr val="000000"/>
                          </a:solidFill>
                          <a:miter lim="800000"/>
                          <a:headEnd/>
                          <a:tailEnd/>
                        </a:ln>
                      </wps:spPr>
                      <wps:txbx>
                        <w:txbxContent>
                          <w:p w14:paraId="3478D7C6" w14:textId="77777777" w:rsidR="00404AE4" w:rsidRDefault="00404AE4" w:rsidP="00404AE4">
                            <w:r w:rsidRPr="00E85529">
                              <w:rPr>
                                <w:highlight w:val="green"/>
                              </w:rPr>
                              <w:t>RAN4 93</w:t>
                            </w:r>
                          </w:p>
                          <w:p w14:paraId="34A63AA7" w14:textId="77777777" w:rsidR="00E85529" w:rsidRPr="00E85529" w:rsidRDefault="00E85529" w:rsidP="00E85529">
                            <w:r w:rsidRPr="00E85529">
                              <w:t>FFS: At least one cell which is checked by the UE for cell re-selection on each frequency is such that it is not more than X dB weaker than the strongest cell on that frequency, and it also fulfills the reselection margins, where value of X is TBD</w:t>
                            </w:r>
                          </w:p>
                          <w:p w14:paraId="1C3B7423" w14:textId="77777777" w:rsidR="00404AE4" w:rsidRDefault="00404AE4" w:rsidP="00404AE4"/>
                          <w:p w14:paraId="2FE325ED" w14:textId="77777777" w:rsidR="00404AE4" w:rsidRDefault="00404AE4" w:rsidP="00404A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37CF30" id="_x0000_t202" coordsize="21600,21600" o:spt="202" path="m,l,21600r21600,l21600,xe">
                <v:stroke joinstyle="miter"/>
                <v:path gradientshapeok="t" o:connecttype="rect"/>
              </v:shapetype>
              <v:shape id="Text Box 2" o:spid="_x0000_s1026" type="#_x0000_t202" style="position:absolute;margin-left:-6.3pt;margin-top:22.4pt;width:479.25pt;height:7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">
                <v:textbox>
                  <w:txbxContent>
                    <w:p w14:paraId="3478D7C6" w14:textId="77777777" w:rsidR="00404AE4" w:rsidRDefault="00404AE4" w:rsidP="00404AE4">
                      <w:r w:rsidRPr="00E85529">
                        <w:rPr>
                          <w:highlight w:val="green"/>
                        </w:rPr>
                        <w:t>RAN4 93</w:t>
                      </w:r>
                    </w:p>
                    <w:p w14:paraId="34A63AA7" w14:textId="77777777" w:rsidR="00E85529" w:rsidRPr="00E85529" w:rsidRDefault="00E85529" w:rsidP="00E85529">
                      <w:r w:rsidRPr="00E85529">
                        <w:t>FFS: At least one cell which is checked by the UE for cell re-selection on each frequency is such that it is not more than X dB weaker than the strongest cell on that frequency, and it also fulfills the reselection margins, where value of X is TBD</w:t>
                      </w:r>
                    </w:p>
                    <w:p w14:paraId="1C3B7423" w14:textId="77777777" w:rsidR="00404AE4" w:rsidRDefault="00404AE4" w:rsidP="00404AE4"/>
                    <w:p w14:paraId="2FE325ED" w14:textId="77777777" w:rsidR="00404AE4" w:rsidRDefault="00404AE4" w:rsidP="00404AE4"/>
                  </w:txbxContent>
                </v:textbox>
                <w10:wrap type="square" anchorx="margin"/>
              </v:shape>
            </w:pict>
          </mc:Fallback>
        </mc:AlternateContent>
      </w:r>
      <w:r>
        <w:t xml:space="preserve">In the </w:t>
      </w:r>
      <w:r w:rsidR="00E85529">
        <w:t>last RAN4</w:t>
      </w:r>
      <w:r>
        <w:t xml:space="preserve"> meeting, RAN4 #93, the following </w:t>
      </w:r>
      <w:r w:rsidR="00E85529">
        <w:t xml:space="preserve">was </w:t>
      </w:r>
      <w:r w:rsidR="006E2B00">
        <w:t>listed as FFS</w:t>
      </w:r>
      <w:r w:rsidR="00E85529">
        <w:t xml:space="preserve"> </w:t>
      </w:r>
      <w:r w:rsidR="00E85529">
        <w:fldChar w:fldCharType="begin"/>
      </w:r>
      <w:r w:rsidR="00E85529">
        <w:instrText xml:space="preserve"> REF _Ref26969648 \r \h </w:instrText>
      </w:r>
      <w:r w:rsidR="00E85529">
        <w:fldChar w:fldCharType="separate"/>
      </w:r>
      <w:r w:rsidR="00E85529">
        <w:t>[1]</w:t>
      </w:r>
      <w:r w:rsidR="00E85529">
        <w:fldChar w:fldCharType="end"/>
      </w:r>
      <w:r w:rsidR="00E85529">
        <w:t xml:space="preserve">: </w:t>
      </w:r>
    </w:p>
    <w:p w14:paraId="5C21FC1A" w14:textId="5503D664" w:rsidR="00202C34" w:rsidRDefault="00E85529" w:rsidP="000E23A6">
      <w:r>
        <w:t xml:space="preserve">In this paper, we discuss the remaining aspects of cell reselection in NR-U. </w:t>
      </w:r>
    </w:p>
    <w:p w14:paraId="24BB6D09" w14:textId="15B76E0A" w:rsidR="00B07A4B" w:rsidRPr="00C517AB" w:rsidRDefault="00B07A4B" w:rsidP="00B07A4B">
      <w:pPr>
        <w:pStyle w:val="RAN4H1"/>
      </w:pPr>
      <w:bookmarkStart w:id="3" w:name="_Hlk7682270"/>
      <w:r>
        <w:t>2</w:t>
      </w:r>
      <w:r w:rsidRPr="00841BCD">
        <w:tab/>
      </w:r>
      <w:r>
        <w:t>Discussion</w:t>
      </w:r>
    </w:p>
    <w:bookmarkEnd w:id="3"/>
    <w:p w14:paraId="7DDDED74" w14:textId="59C6DDA7" w:rsidR="00796061" w:rsidRDefault="00AE2475" w:rsidP="00690494">
      <w:pPr>
        <w:jc w:val="both"/>
      </w:pPr>
      <w:r>
        <w:t xml:space="preserve">In last RAN4 meeting, the cell reselection procedure was discussed. An FFS point was listed to study the case in which the cells that are checked by the UE for cell re-selection are such that they are not more than X dB weaker than the strongest cell. </w:t>
      </w:r>
    </w:p>
    <w:p w14:paraId="105C2A15" w14:textId="625CE9E8" w:rsidR="00AE2475" w:rsidRDefault="00AE2475" w:rsidP="00690494">
      <w:pPr>
        <w:jc w:val="both"/>
      </w:pPr>
      <w:r>
        <w:t xml:space="preserve">This FFS was included due to the discussion presented in </w:t>
      </w:r>
      <w:r>
        <w:fldChar w:fldCharType="begin"/>
      </w:r>
      <w:r>
        <w:instrText xml:space="preserve"> REF _Ref26972272 \r \h </w:instrText>
      </w:r>
      <w:r w:rsidR="00690494">
        <w:instrText xml:space="preserve"> \* MERGEFORMAT </w:instrText>
      </w:r>
      <w:r>
        <w:fldChar w:fldCharType="separate"/>
      </w:r>
      <w:r>
        <w:t>[2]</w:t>
      </w:r>
      <w:r>
        <w:fldChar w:fldCharType="end"/>
      </w:r>
      <w:r>
        <w:t>, in which the authors mention the RAN2 agreements below:</w:t>
      </w:r>
    </w:p>
    <w:p w14:paraId="415B21A4" w14:textId="04C115DC" w:rsidR="00AE2475" w:rsidRDefault="00AE2475" w:rsidP="00690494">
      <w:pPr>
        <w:jc w:val="both"/>
      </w:pPr>
      <w:r>
        <w:t>RAN2 107bis agreement</w:t>
      </w:r>
    </w:p>
    <w:p w14:paraId="24DF4489" w14:textId="3D323532" w:rsidR="00AE2475" w:rsidRDefault="00AE2475" w:rsidP="00690494">
      <w:pPr>
        <w:jc w:val="both"/>
        <w:rPr>
          <w:i/>
        </w:rPr>
      </w:pPr>
      <w:r w:rsidRPr="00AE2475">
        <w:t xml:space="preserve"> </w:t>
      </w:r>
      <w:r w:rsidRPr="00AE2475">
        <w:rPr>
          <w:i/>
        </w:rPr>
        <w:t>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w:t>
      </w:r>
    </w:p>
    <w:p w14:paraId="4A2F9DB9" w14:textId="5A99455B" w:rsidR="006E2B00" w:rsidRDefault="006E2B00" w:rsidP="00690494">
      <w:pPr>
        <w:jc w:val="both"/>
      </w:pPr>
      <w:r>
        <w:t>Which was preceded by the following agreement in RAN2 107:</w:t>
      </w:r>
    </w:p>
    <w:p w14:paraId="6C62D4AE" w14:textId="450688BA" w:rsidR="006E2B00" w:rsidRPr="00AE2475" w:rsidRDefault="006E2B00" w:rsidP="00690494">
      <w:pPr>
        <w:jc w:val="both"/>
        <w:rPr>
          <w:rFonts w:ascii="Arial" w:eastAsia="Times New Roman" w:hAnsi="Arial" w:cs="Arial"/>
          <w:szCs w:val="20"/>
          <w:lang w:val="en-GB" w:eastAsia="da-DK"/>
        </w:rPr>
      </w:pPr>
      <w:r w:rsidRPr="006E2B00">
        <w:rPr>
          <w:i/>
        </w:rP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6E2B00">
        <w:rPr>
          <w:i/>
        </w:rPr>
        <w:t>reselection, but</w:t>
      </w:r>
      <w:proofErr w:type="gramEnd"/>
      <w:r w:rsidRPr="006E2B00">
        <w:rPr>
          <w:i/>
        </w:rPr>
        <w:t xml:space="preserve"> shall consider the other cells as candidates for reselection on the same frequency. The UE may consider the current NR-U frequency to be the lowest priority frequency for reselection for 300 seconds after at least &lt;FFS criterion&gt; on that frequency were found not suitable due to belonging to a PLMN which is not indicated as being equivalent to the registered PLMN.</w:t>
      </w:r>
    </w:p>
    <w:p w14:paraId="6244AC93" w14:textId="21865EB2" w:rsidR="00AE2475" w:rsidRDefault="00AE2475" w:rsidP="00690494">
      <w:pPr>
        <w:jc w:val="both"/>
      </w:pPr>
      <w:r>
        <w:t xml:space="preserve">In </w:t>
      </w:r>
      <w:r>
        <w:fldChar w:fldCharType="begin"/>
      </w:r>
      <w:r>
        <w:instrText xml:space="preserve"> REF _Ref26972272 \r \h </w:instrText>
      </w:r>
      <w:r w:rsidR="00690494">
        <w:instrText xml:space="preserve"> \* MERGEFORMAT </w:instrText>
      </w:r>
      <w:r>
        <w:fldChar w:fldCharType="separate"/>
      </w:r>
      <w:r>
        <w:t>[2]</w:t>
      </w:r>
      <w:r>
        <w:fldChar w:fldCharType="end"/>
      </w:r>
      <w:r>
        <w:t xml:space="preserve"> the authors mention that </w:t>
      </w:r>
      <w:r w:rsidR="006E2B00">
        <w:t>the</w:t>
      </w:r>
      <w:r>
        <w:t xml:space="preserve"> agreement </w:t>
      </w:r>
      <w:r w:rsidR="006E2B00">
        <w:t xml:space="preserve">in RAN2 107 bis </w:t>
      </w:r>
      <w:r>
        <w:t xml:space="preserve">could cause a ping-pong effect in case the cells checked by the UE in that frequency are much weaker than the strongest cell in the frequency, and suggest to include a margin in dB, between these cells and the strongest cell </w:t>
      </w:r>
      <w:r w:rsidR="006E2B00">
        <w:t>on that</w:t>
      </w:r>
      <w:r>
        <w:t xml:space="preserve"> frequenc</w:t>
      </w:r>
      <w:r w:rsidR="006E2B00">
        <w:t>y to avoid this ping-pong.</w:t>
      </w:r>
    </w:p>
    <w:p w14:paraId="6D46B5CD" w14:textId="6ABCAE89" w:rsidR="00495434" w:rsidRDefault="006E2B00" w:rsidP="00690494">
      <w:pPr>
        <w:pStyle w:val="RAN4observation0"/>
        <w:numPr>
          <w:ilvl w:val="0"/>
          <w:numId w:val="0"/>
        </w:numPr>
        <w:jc w:val="both"/>
      </w:pPr>
      <w:r>
        <w:t xml:space="preserve">However, it is important to clarify the RAN2 agreements, before </w:t>
      </w:r>
      <w:r w:rsidR="00495434">
        <w:t>specifying</w:t>
      </w:r>
      <w:r>
        <w:t xml:space="preserve"> any change in the cell reselection procedures. </w:t>
      </w:r>
      <w:r w:rsidR="00495434">
        <w:t xml:space="preserve"> The RAN2 agreement in RAN2 107 specifies that the highest ranked cell or best cell in a frequency shall not be considered by the UE for reselection for a maximum of 300 seconds if it is not suitable due to belonging to a PLMN which is not indicated as being equivalent to the registered PLMN. </w:t>
      </w:r>
    </w:p>
    <w:p w14:paraId="01BA3C65" w14:textId="22222241" w:rsidR="00495434" w:rsidRDefault="00495434" w:rsidP="00690494">
      <w:pPr>
        <w:jc w:val="both"/>
        <w:rPr>
          <w:lang w:val="en-GB"/>
        </w:rPr>
      </w:pPr>
      <w:r>
        <w:rPr>
          <w:lang w:val="en-GB"/>
        </w:rPr>
        <w:lastRenderedPageBreak/>
        <w:t xml:space="preserve">Then the RAN2 agreement in RAN2 107bis specifies that the UE should check at least N=2 cells before considering the current NR-U frequency to be lowest priority. It is important to clarify that, in this case, N already includes the highest ranked cell which was considered unsuitable for reselection. Therefore, the UE should check at least one more cell in that frequency (if any) before giving up on that frequency. </w:t>
      </w:r>
    </w:p>
    <w:p w14:paraId="5DBC359C" w14:textId="64E27480" w:rsidR="00495434" w:rsidRDefault="00495434" w:rsidP="00690494">
      <w:pPr>
        <w:jc w:val="both"/>
        <w:rPr>
          <w:lang w:val="en-GB"/>
        </w:rPr>
      </w:pPr>
      <w:r>
        <w:rPr>
          <w:lang w:val="en-GB"/>
        </w:rPr>
        <w:t xml:space="preserve">In this case, we do not believe that a ping pong effect would occur during the reselection procedure if the highest ranked cells are considered unsuitable. </w:t>
      </w:r>
      <w:r w:rsidR="00980394">
        <w:rPr>
          <w:lang w:val="en-GB"/>
        </w:rPr>
        <w:t xml:space="preserve">Even if N, which is left for UE implementation, is </w:t>
      </w:r>
      <w:r w:rsidR="001B5B85">
        <w:rPr>
          <w:lang w:val="en-GB"/>
        </w:rPr>
        <w:t>larger</w:t>
      </w:r>
      <w:r w:rsidR="00980394">
        <w:rPr>
          <w:lang w:val="en-GB"/>
        </w:rPr>
        <w:t xml:space="preserve"> than 2, the UE will not consider the highest ranked (but unsuitable) cells for reselection for 300 seconds, and again, no ping-pong effect would occur.</w:t>
      </w:r>
    </w:p>
    <w:p w14:paraId="0CFF49AA" w14:textId="500EE4C8" w:rsidR="00980394" w:rsidRDefault="001B5B85" w:rsidP="00690494">
      <w:pPr>
        <w:pStyle w:val="RAN4observation0"/>
        <w:jc w:val="both"/>
      </w:pPr>
      <w:r>
        <w:t xml:space="preserve">The </w:t>
      </w:r>
      <w:r w:rsidR="00BE5C63">
        <w:t xml:space="preserve">unsuitable </w:t>
      </w:r>
      <w:r>
        <w:t>highest ranked cell is not considered for cell reselection for 300 seconds.</w:t>
      </w:r>
      <w:r w:rsidR="00BE5C63">
        <w:t xml:space="preserve"> </w:t>
      </w:r>
      <w:r>
        <w:t xml:space="preserve">Therefore, it will not affect the cell reselection </w:t>
      </w:r>
      <w:r w:rsidR="00BE5C63">
        <w:t xml:space="preserve">procedure to other cells in the same frequency. </w:t>
      </w:r>
    </w:p>
    <w:p w14:paraId="69ECEEA9" w14:textId="5025227D" w:rsidR="00980394" w:rsidRPr="00495434" w:rsidRDefault="00980394" w:rsidP="00980394">
      <w:pPr>
        <w:pStyle w:val="RAN4proposal"/>
        <w:rPr>
          <w:lang w:val="en-GB"/>
        </w:rPr>
      </w:pPr>
      <w:r>
        <w:rPr>
          <w:lang w:val="en-GB"/>
        </w:rPr>
        <w:t xml:space="preserve">RAN4 not to define an </w:t>
      </w:r>
      <w:r w:rsidR="00BE5C63">
        <w:rPr>
          <w:lang w:val="en-GB"/>
        </w:rPr>
        <w:t>additional</w:t>
      </w:r>
      <w:r>
        <w:rPr>
          <w:lang w:val="en-GB"/>
        </w:rPr>
        <w:t xml:space="preserve"> power </w:t>
      </w:r>
      <w:r w:rsidR="00BE5C63">
        <w:rPr>
          <w:lang w:val="en-GB"/>
        </w:rPr>
        <w:t>limit</w:t>
      </w:r>
      <w:r>
        <w:rPr>
          <w:lang w:val="en-GB"/>
        </w:rPr>
        <w:t xml:space="preserve"> between the strongest cell on a frequency, which is considered unsuitable for cell reselection, and the other cells checked by the UE for cell re-selection.</w:t>
      </w:r>
    </w:p>
    <w:p w14:paraId="0F425B0B" w14:textId="28CA7878" w:rsidR="00DE50DE" w:rsidRDefault="00120D88" w:rsidP="00E64435">
      <w:pPr>
        <w:jc w:val="both"/>
      </w:pPr>
      <w:r>
        <w:t>Additionally,</w:t>
      </w:r>
      <w:r w:rsidR="00270781">
        <w:t xml:space="preserve"> </w:t>
      </w:r>
      <w:r>
        <w:t>during the</w:t>
      </w:r>
      <w:r w:rsidR="00270781">
        <w:t xml:space="preserve"> last RAN4 meeting, it was discussed </w:t>
      </w:r>
      <w:r>
        <w:t xml:space="preserve">whether to change the UE behavior when the UE has failed the cell reselection to the strongest cell because of LBT failure. The discussion was whether the UE should attempt to reselect to at least one another cell on the same carrier which fulfills the reselection margin on the serving carrier frequency before it attempts reselection </w:t>
      </w:r>
      <w:r w:rsidR="005A6CCA">
        <w:t>to</w:t>
      </w:r>
      <w:r>
        <w:t xml:space="preserve"> cells on different carrier. </w:t>
      </w:r>
    </w:p>
    <w:p w14:paraId="161E6653" w14:textId="7B602C87" w:rsidR="00025579" w:rsidRDefault="005A6CCA" w:rsidP="004755AC">
      <w:pPr>
        <w:jc w:val="both"/>
      </w:pPr>
      <w:r>
        <w:t xml:space="preserve">In TS 38.304, </w:t>
      </w:r>
      <w:r w:rsidR="00025579">
        <w:t xml:space="preserve">measurement rules for cell re-selection are defined. The conditions to </w:t>
      </w:r>
      <w:r w:rsidR="00975440">
        <w:t>perform</w:t>
      </w:r>
      <w:r w:rsidR="00025579">
        <w:t xml:space="preserve"> intra or inter-frequency measurements are defined based on the serving cell, and frequency priorities indicated in the system information. If the serving cell fulfils </w:t>
      </w:r>
      <w:proofErr w:type="spellStart"/>
      <w:r w:rsidR="00025579">
        <w:t>Srxlev</w:t>
      </w:r>
      <w:proofErr w:type="spellEnd"/>
      <w:r w:rsidR="00025579" w:rsidRPr="004755AC">
        <w:t xml:space="preserve"> </w:t>
      </w:r>
      <w:r w:rsidR="00025579">
        <w:t xml:space="preserve">&gt; </w:t>
      </w:r>
      <w:proofErr w:type="spellStart"/>
      <w:r w:rsidR="00025579">
        <w:t>S</w:t>
      </w:r>
      <w:r w:rsidR="00025579" w:rsidRPr="004755AC">
        <w:t>IntraSearchP</w:t>
      </w:r>
      <w:proofErr w:type="spellEnd"/>
      <w:r w:rsidR="00025579">
        <w:t xml:space="preserve"> and </w:t>
      </w:r>
      <w:proofErr w:type="spellStart"/>
      <w:r w:rsidR="00025579">
        <w:t>Squal</w:t>
      </w:r>
      <w:proofErr w:type="spellEnd"/>
      <w:r w:rsidR="00025579">
        <w:t xml:space="preserve"> &gt; </w:t>
      </w:r>
      <w:proofErr w:type="spellStart"/>
      <w:r w:rsidR="00025579">
        <w:t>S</w:t>
      </w:r>
      <w:r w:rsidR="00025579" w:rsidRPr="004755AC">
        <w:t>IntraSearchQ</w:t>
      </w:r>
      <w:proofErr w:type="spellEnd"/>
      <w:r w:rsidR="00025579">
        <w:t xml:space="preserve">, the UE may choose not to perform intra-frequency measurements. Otherwise, it shall perform intra-frequency measurements. Depending on the priorities defined in the system information, if the serving cell fulfils </w:t>
      </w:r>
      <w:proofErr w:type="spellStart"/>
      <w:r w:rsidR="00025579">
        <w:t>Srxlev</w:t>
      </w:r>
      <w:proofErr w:type="spellEnd"/>
      <w:r w:rsidR="00025579">
        <w:t xml:space="preserve"> &gt; </w:t>
      </w:r>
      <w:proofErr w:type="spellStart"/>
      <w:r w:rsidR="00025579">
        <w:t>S</w:t>
      </w:r>
      <w:r w:rsidR="00025579" w:rsidRPr="004755AC">
        <w:t>nonIntraSearchP</w:t>
      </w:r>
      <w:proofErr w:type="spellEnd"/>
      <w:r w:rsidR="00025579">
        <w:t xml:space="preserve"> and </w:t>
      </w:r>
      <w:proofErr w:type="spellStart"/>
      <w:r w:rsidR="00025579">
        <w:t>Squal</w:t>
      </w:r>
      <w:proofErr w:type="spellEnd"/>
      <w:r w:rsidR="00025579">
        <w:t xml:space="preserve"> &gt; </w:t>
      </w:r>
      <w:proofErr w:type="spellStart"/>
      <w:r w:rsidR="00025579">
        <w:t>S</w:t>
      </w:r>
      <w:r w:rsidR="00025579" w:rsidRPr="004755AC">
        <w:t>nonIntraSearchQ</w:t>
      </w:r>
      <w:proofErr w:type="spellEnd"/>
      <w:r w:rsidR="00025579" w:rsidRPr="00025579">
        <w:t xml:space="preserve"> </w:t>
      </w:r>
      <w:r w:rsidR="00025579">
        <w:t>the UE may choose not to perform measurements of NR inter-frequency or inter-RAT measurements. Otherwise the UE shall perform NR inter-frequency or NR inter-RAT measurements.</w:t>
      </w:r>
    </w:p>
    <w:p w14:paraId="17F1750A" w14:textId="6304A849" w:rsidR="00025579" w:rsidRDefault="00025579" w:rsidP="004755AC">
      <w:pPr>
        <w:jc w:val="both"/>
      </w:pPr>
      <w:r>
        <w:t>If the serving cell is under heavy LBT failure</w:t>
      </w:r>
      <w:r w:rsidR="004755AC">
        <w:t xml:space="preserve">, the UE might not be able to measure </w:t>
      </w:r>
      <w:r>
        <w:t xml:space="preserve">it to evaluate if </w:t>
      </w:r>
      <w:proofErr w:type="spellStart"/>
      <w:r w:rsidR="004755AC">
        <w:t>Srxlev</w:t>
      </w:r>
      <w:proofErr w:type="spellEnd"/>
      <w:r w:rsidR="004755AC" w:rsidRPr="004755AC">
        <w:t xml:space="preserve"> </w:t>
      </w:r>
      <w:r w:rsidR="004755AC">
        <w:t xml:space="preserve">&gt; </w:t>
      </w:r>
      <w:proofErr w:type="spellStart"/>
      <w:r w:rsidR="004755AC">
        <w:t>S</w:t>
      </w:r>
      <w:r w:rsidR="004755AC" w:rsidRPr="004755AC">
        <w:t>IntraSearchP</w:t>
      </w:r>
      <w:proofErr w:type="spellEnd"/>
      <w:r w:rsidR="004755AC">
        <w:t xml:space="preserve"> or </w:t>
      </w:r>
      <w:proofErr w:type="spellStart"/>
      <w:r w:rsidR="004755AC">
        <w:t>Squal</w:t>
      </w:r>
      <w:proofErr w:type="spellEnd"/>
      <w:r w:rsidR="004755AC">
        <w:t xml:space="preserve"> &gt; </w:t>
      </w:r>
      <w:proofErr w:type="spellStart"/>
      <w:r w:rsidR="004755AC">
        <w:t>S</w:t>
      </w:r>
      <w:r w:rsidR="004755AC" w:rsidRPr="004755AC">
        <w:t>IntraSearchQ</w:t>
      </w:r>
      <w:proofErr w:type="spellEnd"/>
      <w:r w:rsidR="004755AC">
        <w:t xml:space="preserve"> therefore, in </w:t>
      </w:r>
      <w:r>
        <w:t>RAN4 92, it was agreed that</w:t>
      </w:r>
      <w:r w:rsidR="00753294">
        <w:t xml:space="preserve"> </w:t>
      </w:r>
      <w:r w:rsidR="00753294">
        <w:fldChar w:fldCharType="begin"/>
      </w:r>
      <w:r w:rsidR="00753294">
        <w:instrText xml:space="preserve"> REF _Ref27133790 \r \h </w:instrText>
      </w:r>
      <w:r w:rsidR="00753294">
        <w:fldChar w:fldCharType="separate"/>
      </w:r>
      <w:r w:rsidR="00753294">
        <w:t>[3]</w:t>
      </w:r>
      <w:r w:rsidR="00753294">
        <w:fldChar w:fldCharType="end"/>
      </w:r>
      <w:r>
        <w:t xml:space="preserve">: </w:t>
      </w:r>
    </w:p>
    <w:p w14:paraId="6DDB7781" w14:textId="610021DF" w:rsidR="00753294" w:rsidRPr="00753294" w:rsidRDefault="00753294" w:rsidP="004755AC">
      <w:pPr>
        <w:jc w:val="both"/>
        <w:rPr>
          <w:i/>
        </w:rPr>
      </w:pPr>
      <w:r w:rsidRPr="00753294">
        <w:rPr>
          <w:i/>
        </w:rPr>
        <w:t xml:space="preserve">UE shall initiate measurements on </w:t>
      </w:r>
      <w:proofErr w:type="spellStart"/>
      <w:r w:rsidRPr="00753294">
        <w:rPr>
          <w:i/>
        </w:rPr>
        <w:t>neighbour</w:t>
      </w:r>
      <w:proofErr w:type="spellEnd"/>
      <w:r w:rsidRPr="00753294">
        <w:rPr>
          <w:i/>
        </w:rPr>
        <w:t xml:space="preserve"> cells indicated by the serving cell if it is unable to measure on the serving cell for at least </w:t>
      </w:r>
      <w:proofErr w:type="spellStart"/>
      <w:r w:rsidRPr="00753294">
        <w:rPr>
          <w:i/>
        </w:rPr>
        <w:t>Mp</w:t>
      </w:r>
      <w:proofErr w:type="spellEnd"/>
      <w:r w:rsidRPr="00753294">
        <w:rPr>
          <w:i/>
        </w:rPr>
        <w:t xml:space="preserve"> consecutive number of DRX cycles not available at the UE, where the value of </w:t>
      </w:r>
      <w:proofErr w:type="spellStart"/>
      <w:r w:rsidRPr="00753294">
        <w:rPr>
          <w:i/>
        </w:rPr>
        <w:t>Mp</w:t>
      </w:r>
      <w:proofErr w:type="spellEnd"/>
      <w:r w:rsidRPr="00753294">
        <w:rPr>
          <w:i/>
        </w:rPr>
        <w:t xml:space="preserve"> is TBD.</w:t>
      </w:r>
    </w:p>
    <w:p w14:paraId="7DCD9856" w14:textId="7DB7E1D5" w:rsidR="00025579" w:rsidRPr="00753294" w:rsidRDefault="00025579" w:rsidP="004755AC">
      <w:pPr>
        <w:jc w:val="both"/>
        <w:rPr>
          <w:i/>
        </w:rPr>
      </w:pPr>
      <w:r w:rsidRPr="00753294">
        <w:rPr>
          <w:rFonts w:hint="eastAsia"/>
          <w:i/>
        </w:rPr>
        <w:t xml:space="preserve">UE shall initiate the measurements on </w:t>
      </w:r>
      <w:proofErr w:type="spellStart"/>
      <w:r w:rsidRPr="00753294">
        <w:rPr>
          <w:rFonts w:hint="eastAsia"/>
          <w:i/>
        </w:rPr>
        <w:t>neighbour</w:t>
      </w:r>
      <w:proofErr w:type="spellEnd"/>
      <w:r w:rsidRPr="00753294">
        <w:rPr>
          <w:rFonts w:hint="eastAsia"/>
          <w:i/>
        </w:rPr>
        <w:t xml:space="preserve"> cells of </w:t>
      </w:r>
      <w:r w:rsidRPr="00753294">
        <w:rPr>
          <w:rFonts w:hint="eastAsia"/>
          <w:i/>
          <w:u w:val="single"/>
        </w:rPr>
        <w:t>any</w:t>
      </w:r>
      <w:r w:rsidRPr="00753294">
        <w:rPr>
          <w:rFonts w:hint="eastAsia"/>
          <w:i/>
        </w:rPr>
        <w:t xml:space="preserve"> intra-frequency or inter-frequency if it is unable to measure on serving cell during at least consecutive </w:t>
      </w:r>
      <w:proofErr w:type="spellStart"/>
      <w:r w:rsidRPr="00753294">
        <w:rPr>
          <w:rFonts w:hint="eastAsia"/>
          <w:b/>
          <w:i/>
        </w:rPr>
        <w:t>Mq</w:t>
      </w:r>
      <w:proofErr w:type="spellEnd"/>
      <w:r w:rsidRPr="00753294">
        <w:rPr>
          <w:rFonts w:hint="eastAsia"/>
          <w:i/>
        </w:rPr>
        <w:t xml:space="preserve"> number of DRX cycles not available at the UE, regardless of any condition of </w:t>
      </w:r>
      <w:proofErr w:type="spellStart"/>
      <w:r w:rsidRPr="00753294">
        <w:rPr>
          <w:rFonts w:hint="eastAsia"/>
          <w:i/>
        </w:rPr>
        <w:t>SnonIntraSearchP</w:t>
      </w:r>
      <w:proofErr w:type="spellEnd"/>
      <w:r w:rsidRPr="00753294">
        <w:rPr>
          <w:rFonts w:hint="eastAsia"/>
          <w:i/>
        </w:rPr>
        <w:t xml:space="preserve"> and </w:t>
      </w:r>
      <w:proofErr w:type="spellStart"/>
      <w:r w:rsidRPr="00753294">
        <w:rPr>
          <w:rFonts w:hint="eastAsia"/>
          <w:i/>
        </w:rPr>
        <w:t>SnonIntraSearchQ</w:t>
      </w:r>
      <w:proofErr w:type="spellEnd"/>
      <w:r w:rsidR="004755AC" w:rsidRPr="00753294">
        <w:rPr>
          <w:i/>
        </w:rPr>
        <w:t>.</w:t>
      </w:r>
    </w:p>
    <w:p w14:paraId="697AB37D" w14:textId="57291E90" w:rsidR="004755AC" w:rsidRDefault="004755AC" w:rsidP="004755AC">
      <w:pPr>
        <w:jc w:val="both"/>
      </w:pPr>
      <w:r>
        <w:t xml:space="preserve">The values of </w:t>
      </w:r>
      <w:proofErr w:type="spellStart"/>
      <w:r>
        <w:t>Mq</w:t>
      </w:r>
      <w:proofErr w:type="spellEnd"/>
      <w:r>
        <w:t xml:space="preserve"> </w:t>
      </w:r>
      <w:r w:rsidR="00753294">
        <w:t xml:space="preserve">and </w:t>
      </w:r>
      <w:proofErr w:type="spellStart"/>
      <w:r w:rsidR="00753294">
        <w:t>Mp</w:t>
      </w:r>
      <w:proofErr w:type="spellEnd"/>
      <w:r w:rsidR="00753294">
        <w:t xml:space="preserve"> </w:t>
      </w:r>
      <w:r>
        <w:t>for different DRX cycles were discussed in RAN4 92b</w:t>
      </w:r>
      <w:r w:rsidR="00753294">
        <w:t xml:space="preserve"> </w:t>
      </w:r>
      <w:r w:rsidR="00476AD6">
        <w:fldChar w:fldCharType="begin"/>
      </w:r>
      <w:r w:rsidR="00476AD6">
        <w:instrText xml:space="preserve"> REF _Ref27133885 \r \h </w:instrText>
      </w:r>
      <w:r w:rsidR="00476AD6">
        <w:fldChar w:fldCharType="separate"/>
      </w:r>
      <w:r w:rsidR="00476AD6">
        <w:t>[4]</w:t>
      </w:r>
      <w:r w:rsidR="00476AD6">
        <w:fldChar w:fldCharType="end"/>
      </w:r>
      <w:r>
        <w:t>. Additionally,</w:t>
      </w:r>
      <w:r w:rsidR="00BB2C23">
        <w:t xml:space="preserve"> in order to handle LBT failures during the cell re-selection, RAN4 has also agreed that </w:t>
      </w:r>
      <w:r>
        <w:t>the time the UE has to evaluate the serving cell, detect, measure and evaluate intra or inter-frequency carriers will be extended depending on the number of DRX cycles in which the SMTC is not available at the UE (</w:t>
      </w:r>
      <w:r w:rsidR="00BB2C23">
        <w:t xml:space="preserve">for example, due to </w:t>
      </w:r>
      <w:r>
        <w:t xml:space="preserve">LBT failure). </w:t>
      </w:r>
      <w:r w:rsidR="00BB2C23">
        <w:t>Therefore, if the cell reselection fails due to LBT failure, the UE will be, anyway, measuring intra and inter-frequency carriers to find new suitable cells, and this is covered by the baseline procedures defined in 38.304 and the agreements in RAN4.</w:t>
      </w:r>
    </w:p>
    <w:p w14:paraId="7B3A4DA7" w14:textId="64490DA1" w:rsidR="00120D88" w:rsidRDefault="004755AC" w:rsidP="00D332C0">
      <w:pPr>
        <w:pStyle w:val="RAN4observation0"/>
        <w:jc w:val="both"/>
      </w:pPr>
      <w:r>
        <w:t xml:space="preserve">In previous RAN4 meetings, RAN 4 has discussed and agreed on </w:t>
      </w:r>
      <w:proofErr w:type="gramStart"/>
      <w:r>
        <w:t>sufficient</w:t>
      </w:r>
      <w:proofErr w:type="gramEnd"/>
      <w:r>
        <w:t xml:space="preserve"> mechanisms to handle LBT failures during cell re-selection.</w:t>
      </w:r>
      <w:r w:rsidR="00975440">
        <w:t xml:space="preserve"> </w:t>
      </w:r>
    </w:p>
    <w:p w14:paraId="336C9A6C" w14:textId="122C9FD2" w:rsidR="00975440" w:rsidRDefault="00975440" w:rsidP="00975440">
      <w:pPr>
        <w:rPr>
          <w:lang w:val="en-GB"/>
        </w:rPr>
      </w:pPr>
      <w:r>
        <w:rPr>
          <w:lang w:val="en-GB"/>
        </w:rPr>
        <w:t xml:space="preserve">Additionally, RAN1 has also defined mechanisms to increase the probability of sending SSBs even when the transmission is blocked by LBT failure. In this case, the cell has different candidate SSB opportunities within a DRS transmission window. </w:t>
      </w:r>
    </w:p>
    <w:p w14:paraId="5F572EA2" w14:textId="7E0CC120" w:rsidR="00975440" w:rsidRDefault="00975440" w:rsidP="00975440">
      <w:pPr>
        <w:pStyle w:val="RAN4observation0"/>
        <w:jc w:val="both"/>
      </w:pPr>
      <w:r>
        <w:t>RAN1 has also defined mechanisms to increase the probability of sending SSBs when there is a</w:t>
      </w:r>
      <w:r w:rsidR="00005224">
        <w:t>n</w:t>
      </w:r>
      <w:r>
        <w:t xml:space="preserve"> LBT failure during the DRS transmission window.</w:t>
      </w:r>
    </w:p>
    <w:p w14:paraId="57A9FD46" w14:textId="2D99F901" w:rsidR="00975440" w:rsidRPr="00975440" w:rsidRDefault="00975440" w:rsidP="00975440">
      <w:pPr>
        <w:rPr>
          <w:lang w:val="en-GB"/>
        </w:rPr>
      </w:pPr>
      <w:r>
        <w:rPr>
          <w:lang w:val="en-GB"/>
        </w:rPr>
        <w:t xml:space="preserve">Considering the previous two observations, we </w:t>
      </w:r>
      <w:r w:rsidR="003E0882">
        <w:rPr>
          <w:lang w:val="en-GB"/>
        </w:rPr>
        <w:t>have</w:t>
      </w:r>
      <w:r>
        <w:rPr>
          <w:lang w:val="en-GB"/>
        </w:rPr>
        <w:t xml:space="preserve"> that</w:t>
      </w:r>
      <w:r w:rsidR="00BB2C23">
        <w:rPr>
          <w:lang w:val="en-GB"/>
        </w:rPr>
        <w:t>:</w:t>
      </w:r>
    </w:p>
    <w:p w14:paraId="2219B842" w14:textId="4A59DB6A" w:rsidR="00975440" w:rsidRPr="00975440" w:rsidRDefault="00975440" w:rsidP="00975440">
      <w:pPr>
        <w:pStyle w:val="RAN4observation0"/>
      </w:pPr>
      <w:r>
        <w:t>No new UE behaviour is needed to deal with the case in which the re-selection to the highest ranked cell fails due to LBT.</w:t>
      </w:r>
    </w:p>
    <w:p w14:paraId="54FBEA45" w14:textId="77777777" w:rsidR="00975440" w:rsidRPr="00975440" w:rsidRDefault="00975440" w:rsidP="00975440">
      <w:pPr>
        <w:rPr>
          <w:lang w:val="en-GB"/>
        </w:rPr>
      </w:pPr>
    </w:p>
    <w:p w14:paraId="39433A12" w14:textId="3F8D4F08" w:rsidR="00D354C4" w:rsidRDefault="009A51CC" w:rsidP="0008612A">
      <w:pPr>
        <w:pStyle w:val="RAN4H1"/>
      </w:pPr>
      <w:r>
        <w:lastRenderedPageBreak/>
        <w:t>3 Conclusion</w:t>
      </w:r>
    </w:p>
    <w:p w14:paraId="61DBA663" w14:textId="77777777" w:rsidR="000A5490" w:rsidRDefault="000A5490" w:rsidP="000A5490">
      <w:pPr>
        <w:pStyle w:val="RAN4Observation"/>
        <w:numPr>
          <w:ilvl w:val="0"/>
          <w:numId w:val="7"/>
        </w:numPr>
        <w:jc w:val="both"/>
      </w:pPr>
      <w:r>
        <w:t xml:space="preserve">The unsuitable highest ranked cell is not considered for cell reselection for 300 seconds. Therefore, it will not affect the cell reselection procedure to other cells in the same frequency. </w:t>
      </w:r>
    </w:p>
    <w:p w14:paraId="428B06CC" w14:textId="6A9089FD" w:rsidR="000A5490" w:rsidRPr="000A5490" w:rsidRDefault="000A5490" w:rsidP="000A5490">
      <w:pPr>
        <w:pStyle w:val="RAN4proposal"/>
        <w:numPr>
          <w:ilvl w:val="0"/>
          <w:numId w:val="8"/>
        </w:numPr>
        <w:rPr>
          <w:lang w:val="en-GB"/>
        </w:rPr>
      </w:pPr>
      <w:r w:rsidRPr="000A5490">
        <w:rPr>
          <w:lang w:val="en-GB"/>
        </w:rPr>
        <w:t>RAN4 not to define an additional power limit between the strongest cell on a frequency, which is considered unsuitable for cell reselection, and the other cells checked by the UE for cell re-selection.</w:t>
      </w:r>
    </w:p>
    <w:p w14:paraId="6C105A28" w14:textId="77777777" w:rsidR="000A5490" w:rsidRDefault="000A5490" w:rsidP="000A5490">
      <w:pPr>
        <w:pStyle w:val="RAN4observation0"/>
      </w:pPr>
      <w:r>
        <w:t xml:space="preserve">In previous RAN4 meetings, RAN 4 has discussed and agreed on </w:t>
      </w:r>
      <w:proofErr w:type="gramStart"/>
      <w:r>
        <w:t>sufficient</w:t>
      </w:r>
      <w:proofErr w:type="gramEnd"/>
      <w:r>
        <w:t xml:space="preserve"> mechanisms to handle LBT failures during cell re-selection. </w:t>
      </w:r>
    </w:p>
    <w:p w14:paraId="0D86528E" w14:textId="77777777" w:rsidR="000A5490" w:rsidRDefault="000A5490" w:rsidP="000A5490">
      <w:pPr>
        <w:pStyle w:val="RAN4observation0"/>
        <w:jc w:val="both"/>
      </w:pPr>
      <w:r>
        <w:t>RAN1 has also defined mechanisms to increase the probability of sending SSBs when there is an LBT failure during the DRS transmission window.</w:t>
      </w:r>
    </w:p>
    <w:p w14:paraId="79F179BD" w14:textId="77777777" w:rsidR="000A5490" w:rsidRPr="00975440" w:rsidRDefault="000A5490" w:rsidP="000A5490">
      <w:pPr>
        <w:pStyle w:val="RAN4observation0"/>
      </w:pPr>
      <w:r>
        <w:t>No new UE behaviour is needed to deal with the case in which the re-selection to the highest ranked cell fails due to LBT.</w:t>
      </w:r>
    </w:p>
    <w:p w14:paraId="0E87B0FA" w14:textId="0E6E51C2" w:rsidR="003B659E" w:rsidRPr="0095295C" w:rsidRDefault="003B659E" w:rsidP="000A5490">
      <w:pPr>
        <w:pStyle w:val="RAN4H1"/>
        <w:ind w:left="0" w:firstLine="0"/>
      </w:pPr>
      <w:r w:rsidRPr="0095295C">
        <w:t>References</w:t>
      </w:r>
    </w:p>
    <w:p w14:paraId="2A9D238A" w14:textId="477266EB" w:rsidR="00753294" w:rsidRPr="00AE2475" w:rsidRDefault="004E44ED" w:rsidP="00753294">
      <w:pPr>
        <w:numPr>
          <w:ilvl w:val="0"/>
          <w:numId w:val="1"/>
        </w:numPr>
        <w:overflowPunct w:val="0"/>
        <w:autoSpaceDE w:val="0"/>
        <w:autoSpaceDN w:val="0"/>
        <w:adjustRightInd w:val="0"/>
        <w:spacing w:after="120" w:line="240" w:lineRule="auto"/>
        <w:jc w:val="both"/>
        <w:textAlignment w:val="baseline"/>
      </w:pPr>
      <w:bookmarkStart w:id="4" w:name="_Ref20931039"/>
      <w:bookmarkStart w:id="5" w:name="_Ref26969648"/>
      <w:r>
        <w:rPr>
          <w:lang w:val="en-GB"/>
        </w:rPr>
        <w:t>R4-</w:t>
      </w:r>
      <w:bookmarkEnd w:id="4"/>
      <w:r w:rsidR="00202C34">
        <w:rPr>
          <w:lang w:val="en-GB"/>
        </w:rPr>
        <w:t>1915777. “WF on NR-U RRM Requirements (all agreements in RAN4#93)”, Ericsson, Qualcomm Inc.</w:t>
      </w:r>
      <w:bookmarkEnd w:id="5"/>
    </w:p>
    <w:p w14:paraId="15A9BAE2" w14:textId="0AE3213D" w:rsidR="00AE2475" w:rsidRPr="00753294" w:rsidRDefault="00AE2475" w:rsidP="009C7B3B">
      <w:pPr>
        <w:numPr>
          <w:ilvl w:val="0"/>
          <w:numId w:val="1"/>
        </w:numPr>
        <w:overflowPunct w:val="0"/>
        <w:autoSpaceDE w:val="0"/>
        <w:autoSpaceDN w:val="0"/>
        <w:adjustRightInd w:val="0"/>
        <w:spacing w:after="120" w:line="240" w:lineRule="auto"/>
        <w:jc w:val="both"/>
        <w:textAlignment w:val="baseline"/>
      </w:pPr>
      <w:bookmarkStart w:id="6" w:name="_Ref26972272"/>
      <w:r w:rsidRPr="00897B72">
        <w:rPr>
          <w:lang w:val="en-GB"/>
        </w:rPr>
        <w:t>R4-1914721, “Remaining discussions on IDLE mode cell re-selection requirements for NR-U standalone”, Ericsson.</w:t>
      </w:r>
      <w:bookmarkEnd w:id="6"/>
    </w:p>
    <w:p w14:paraId="467EC8CC" w14:textId="062ACE65" w:rsidR="00753294" w:rsidRDefault="00753294" w:rsidP="009C7B3B">
      <w:pPr>
        <w:numPr>
          <w:ilvl w:val="0"/>
          <w:numId w:val="1"/>
        </w:numPr>
        <w:overflowPunct w:val="0"/>
        <w:autoSpaceDE w:val="0"/>
        <w:autoSpaceDN w:val="0"/>
        <w:adjustRightInd w:val="0"/>
        <w:spacing w:after="120" w:line="240" w:lineRule="auto"/>
        <w:jc w:val="both"/>
        <w:textAlignment w:val="baseline"/>
      </w:pPr>
      <w:bookmarkStart w:id="7" w:name="_Ref27133790"/>
      <w:r>
        <w:t>R4-1910551, “WF on RRM Requirements for NR-U”, Ericsson, Qualcomm Inc, Nokia, Nokia Shanghai Bell</w:t>
      </w:r>
      <w:bookmarkEnd w:id="7"/>
    </w:p>
    <w:p w14:paraId="0B71CCF1" w14:textId="42A04DF4" w:rsidR="00753294" w:rsidRPr="00753294" w:rsidRDefault="00753294" w:rsidP="00753294">
      <w:pPr>
        <w:numPr>
          <w:ilvl w:val="0"/>
          <w:numId w:val="1"/>
        </w:numPr>
        <w:autoSpaceDE w:val="0"/>
        <w:autoSpaceDN w:val="0"/>
        <w:adjustRightInd w:val="0"/>
        <w:spacing w:after="120"/>
        <w:jc w:val="both"/>
        <w:textAlignment w:val="baseline"/>
      </w:pPr>
      <w:bookmarkStart w:id="8" w:name="_Ref27133885"/>
      <w:r w:rsidRPr="00753294">
        <w:rPr>
          <w:bCs/>
          <w:lang w:val="en-GB"/>
        </w:rPr>
        <w:t>R4-1912846, “WF on RRM Requirements for NR-U</w:t>
      </w:r>
      <w:r w:rsidR="00CB580F">
        <w:rPr>
          <w:bCs/>
          <w:lang w:val="en-GB"/>
        </w:rPr>
        <w:t xml:space="preserve">” </w:t>
      </w:r>
      <w:bookmarkStart w:id="9" w:name="_GoBack"/>
      <w:bookmarkEnd w:id="9"/>
      <w:r w:rsidRPr="00753294">
        <w:rPr>
          <w:bCs/>
          <w:lang w:val="en-GB"/>
        </w:rPr>
        <w:t>(all agreements in RAN4 #92-bis)”, Ericsson</w:t>
      </w:r>
      <w:bookmarkEnd w:id="8"/>
    </w:p>
    <w:p w14:paraId="333C9ADC" w14:textId="3F9327FC" w:rsidR="00753294" w:rsidRPr="00AE2475" w:rsidRDefault="00753294" w:rsidP="00753294">
      <w:pPr>
        <w:overflowPunct w:val="0"/>
        <w:autoSpaceDE w:val="0"/>
        <w:autoSpaceDN w:val="0"/>
        <w:adjustRightInd w:val="0"/>
        <w:spacing w:after="120" w:line="240" w:lineRule="auto"/>
        <w:ind w:left="360"/>
        <w:jc w:val="both"/>
        <w:textAlignment w:val="baseline"/>
      </w:pPr>
    </w:p>
    <w:sectPr w:rsidR="00753294" w:rsidRPr="00AE24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AA3CE" w14:textId="77777777" w:rsidR="007B03AF" w:rsidRDefault="007B03AF" w:rsidP="00001C9B">
      <w:pPr>
        <w:spacing w:after="0" w:line="240" w:lineRule="auto"/>
      </w:pPr>
      <w:r>
        <w:separator/>
      </w:r>
    </w:p>
  </w:endnote>
  <w:endnote w:type="continuationSeparator" w:id="0">
    <w:p w14:paraId="36AA0DE6" w14:textId="77777777" w:rsidR="007B03AF" w:rsidRDefault="007B03AF" w:rsidP="00001C9B">
      <w:pPr>
        <w:spacing w:after="0" w:line="240" w:lineRule="auto"/>
      </w:pPr>
      <w:r>
        <w:continuationSeparator/>
      </w:r>
    </w:p>
  </w:endnote>
  <w:endnote w:type="continuationNotice" w:id="1">
    <w:p w14:paraId="2B52D7A8" w14:textId="77777777" w:rsidR="007B03AF" w:rsidRDefault="007B0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85CBC" w14:textId="77777777" w:rsidR="007B03AF" w:rsidRDefault="007B03AF" w:rsidP="00001C9B">
      <w:pPr>
        <w:spacing w:after="0" w:line="240" w:lineRule="auto"/>
      </w:pPr>
      <w:r>
        <w:separator/>
      </w:r>
    </w:p>
  </w:footnote>
  <w:footnote w:type="continuationSeparator" w:id="0">
    <w:p w14:paraId="5B6034C9" w14:textId="77777777" w:rsidR="007B03AF" w:rsidRDefault="007B03AF" w:rsidP="00001C9B">
      <w:pPr>
        <w:spacing w:after="0" w:line="240" w:lineRule="auto"/>
      </w:pPr>
      <w:r>
        <w:continuationSeparator/>
      </w:r>
    </w:p>
  </w:footnote>
  <w:footnote w:type="continuationNotice" w:id="1">
    <w:p w14:paraId="6BF6D08C" w14:textId="77777777" w:rsidR="007B03AF" w:rsidRDefault="007B03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 w15:restartNumberingAfterBreak="0">
    <w:nsid w:val="4D6E3167"/>
    <w:multiLevelType w:val="hybridMultilevel"/>
    <w:tmpl w:val="F9782D14"/>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4"/>
  </w:num>
  <w:num w:numId="7">
    <w:abstractNumId w:val="1"/>
    <w:lvlOverride w:ilvl="0">
      <w:startOverride w:val="1"/>
    </w:lvlOverride>
  </w:num>
  <w:num w:numId="8">
    <w:abstractNumId w:val="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224"/>
    <w:rsid w:val="00005B08"/>
    <w:rsid w:val="000116DD"/>
    <w:rsid w:val="00014861"/>
    <w:rsid w:val="00017E8B"/>
    <w:rsid w:val="00025579"/>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20DE"/>
    <w:rsid w:val="000A5490"/>
    <w:rsid w:val="000A5622"/>
    <w:rsid w:val="000A5729"/>
    <w:rsid w:val="000B0056"/>
    <w:rsid w:val="000C56C0"/>
    <w:rsid w:val="000D2D87"/>
    <w:rsid w:val="000D5C4C"/>
    <w:rsid w:val="000E2027"/>
    <w:rsid w:val="000E23A6"/>
    <w:rsid w:val="000E5003"/>
    <w:rsid w:val="000F01D4"/>
    <w:rsid w:val="000F09AB"/>
    <w:rsid w:val="000F12D4"/>
    <w:rsid w:val="000F2A39"/>
    <w:rsid w:val="000F4C1A"/>
    <w:rsid w:val="000F7435"/>
    <w:rsid w:val="00102AA6"/>
    <w:rsid w:val="001057E8"/>
    <w:rsid w:val="001108FE"/>
    <w:rsid w:val="001109F8"/>
    <w:rsid w:val="001149DB"/>
    <w:rsid w:val="00117796"/>
    <w:rsid w:val="001209AC"/>
    <w:rsid w:val="00120D88"/>
    <w:rsid w:val="0012444B"/>
    <w:rsid w:val="00124459"/>
    <w:rsid w:val="00126279"/>
    <w:rsid w:val="00130290"/>
    <w:rsid w:val="00130600"/>
    <w:rsid w:val="00140330"/>
    <w:rsid w:val="00142412"/>
    <w:rsid w:val="00143E75"/>
    <w:rsid w:val="00151A8D"/>
    <w:rsid w:val="0015200C"/>
    <w:rsid w:val="0015341D"/>
    <w:rsid w:val="001622C4"/>
    <w:rsid w:val="00162FA0"/>
    <w:rsid w:val="00165EE7"/>
    <w:rsid w:val="001679DE"/>
    <w:rsid w:val="001745F8"/>
    <w:rsid w:val="00174AD3"/>
    <w:rsid w:val="0017501D"/>
    <w:rsid w:val="001802FD"/>
    <w:rsid w:val="001838CF"/>
    <w:rsid w:val="0019220B"/>
    <w:rsid w:val="00192A0F"/>
    <w:rsid w:val="001958A2"/>
    <w:rsid w:val="00195E2B"/>
    <w:rsid w:val="001961B9"/>
    <w:rsid w:val="001A72C1"/>
    <w:rsid w:val="001B116F"/>
    <w:rsid w:val="001B2870"/>
    <w:rsid w:val="001B5B85"/>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31AA"/>
    <w:rsid w:val="002149F0"/>
    <w:rsid w:val="00214E5E"/>
    <w:rsid w:val="002255AA"/>
    <w:rsid w:val="002267F3"/>
    <w:rsid w:val="002325A1"/>
    <w:rsid w:val="00235F5C"/>
    <w:rsid w:val="00236D6F"/>
    <w:rsid w:val="00236D78"/>
    <w:rsid w:val="00237A2C"/>
    <w:rsid w:val="00245F37"/>
    <w:rsid w:val="0024625B"/>
    <w:rsid w:val="00255E2C"/>
    <w:rsid w:val="002562FC"/>
    <w:rsid w:val="002650B5"/>
    <w:rsid w:val="00265102"/>
    <w:rsid w:val="00265843"/>
    <w:rsid w:val="00270781"/>
    <w:rsid w:val="00273443"/>
    <w:rsid w:val="00280503"/>
    <w:rsid w:val="00282637"/>
    <w:rsid w:val="00284157"/>
    <w:rsid w:val="002853E1"/>
    <w:rsid w:val="002870BB"/>
    <w:rsid w:val="00287B2D"/>
    <w:rsid w:val="00294438"/>
    <w:rsid w:val="00295D0B"/>
    <w:rsid w:val="002A384C"/>
    <w:rsid w:val="002A4B7B"/>
    <w:rsid w:val="002A6280"/>
    <w:rsid w:val="002B26BF"/>
    <w:rsid w:val="002B3044"/>
    <w:rsid w:val="002B4922"/>
    <w:rsid w:val="002B6964"/>
    <w:rsid w:val="002C136A"/>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C76"/>
    <w:rsid w:val="003C46D1"/>
    <w:rsid w:val="003C6693"/>
    <w:rsid w:val="003C6881"/>
    <w:rsid w:val="003D34E3"/>
    <w:rsid w:val="003D6875"/>
    <w:rsid w:val="003E0127"/>
    <w:rsid w:val="003E0882"/>
    <w:rsid w:val="003E3825"/>
    <w:rsid w:val="003E508A"/>
    <w:rsid w:val="003E5526"/>
    <w:rsid w:val="003E5C9D"/>
    <w:rsid w:val="003F4960"/>
    <w:rsid w:val="003F5961"/>
    <w:rsid w:val="003F7E7B"/>
    <w:rsid w:val="004001CA"/>
    <w:rsid w:val="00404AE4"/>
    <w:rsid w:val="00413472"/>
    <w:rsid w:val="00423A76"/>
    <w:rsid w:val="0043238D"/>
    <w:rsid w:val="004367F1"/>
    <w:rsid w:val="0043750A"/>
    <w:rsid w:val="004573AB"/>
    <w:rsid w:val="00460827"/>
    <w:rsid w:val="00460A9F"/>
    <w:rsid w:val="0046167E"/>
    <w:rsid w:val="00473F14"/>
    <w:rsid w:val="00475300"/>
    <w:rsid w:val="004755AC"/>
    <w:rsid w:val="004765AE"/>
    <w:rsid w:val="00476AD6"/>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1C9D"/>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24299"/>
    <w:rsid w:val="0053065D"/>
    <w:rsid w:val="005318D1"/>
    <w:rsid w:val="005343AA"/>
    <w:rsid w:val="00540C4F"/>
    <w:rsid w:val="005440B8"/>
    <w:rsid w:val="0054442C"/>
    <w:rsid w:val="005479EB"/>
    <w:rsid w:val="00550285"/>
    <w:rsid w:val="005505C2"/>
    <w:rsid w:val="00554227"/>
    <w:rsid w:val="00556D62"/>
    <w:rsid w:val="0056348E"/>
    <w:rsid w:val="00567303"/>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6CCA"/>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7320"/>
    <w:rsid w:val="00661412"/>
    <w:rsid w:val="006637DF"/>
    <w:rsid w:val="00664950"/>
    <w:rsid w:val="0066617A"/>
    <w:rsid w:val="00683220"/>
    <w:rsid w:val="00683CB8"/>
    <w:rsid w:val="0068640E"/>
    <w:rsid w:val="00687FA0"/>
    <w:rsid w:val="00690494"/>
    <w:rsid w:val="00696989"/>
    <w:rsid w:val="006A7876"/>
    <w:rsid w:val="006A7D79"/>
    <w:rsid w:val="006B7010"/>
    <w:rsid w:val="006C0384"/>
    <w:rsid w:val="006C3421"/>
    <w:rsid w:val="006C3FC0"/>
    <w:rsid w:val="006C4790"/>
    <w:rsid w:val="006C4CD2"/>
    <w:rsid w:val="006C645C"/>
    <w:rsid w:val="006D241A"/>
    <w:rsid w:val="006D260F"/>
    <w:rsid w:val="006D6F35"/>
    <w:rsid w:val="006D70D8"/>
    <w:rsid w:val="006D7B45"/>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415A"/>
    <w:rsid w:val="007311C9"/>
    <w:rsid w:val="00733746"/>
    <w:rsid w:val="0074048A"/>
    <w:rsid w:val="0074187C"/>
    <w:rsid w:val="007430CA"/>
    <w:rsid w:val="0074427A"/>
    <w:rsid w:val="00747E34"/>
    <w:rsid w:val="0075025E"/>
    <w:rsid w:val="00750A33"/>
    <w:rsid w:val="0075150C"/>
    <w:rsid w:val="00751515"/>
    <w:rsid w:val="007527C1"/>
    <w:rsid w:val="00753294"/>
    <w:rsid w:val="0075490C"/>
    <w:rsid w:val="007578E8"/>
    <w:rsid w:val="0076280D"/>
    <w:rsid w:val="00762FFD"/>
    <w:rsid w:val="0078329A"/>
    <w:rsid w:val="00783B71"/>
    <w:rsid w:val="00784412"/>
    <w:rsid w:val="00785232"/>
    <w:rsid w:val="00793970"/>
    <w:rsid w:val="00796061"/>
    <w:rsid w:val="00796A12"/>
    <w:rsid w:val="00796E74"/>
    <w:rsid w:val="007A15EE"/>
    <w:rsid w:val="007A306D"/>
    <w:rsid w:val="007A5F1D"/>
    <w:rsid w:val="007A61B3"/>
    <w:rsid w:val="007B03AF"/>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97B72"/>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168C"/>
    <w:rsid w:val="0095687B"/>
    <w:rsid w:val="00957191"/>
    <w:rsid w:val="00960417"/>
    <w:rsid w:val="00960F25"/>
    <w:rsid w:val="00961D90"/>
    <w:rsid w:val="0096210F"/>
    <w:rsid w:val="0096398E"/>
    <w:rsid w:val="00963B53"/>
    <w:rsid w:val="00966E36"/>
    <w:rsid w:val="0097080A"/>
    <w:rsid w:val="00970CF3"/>
    <w:rsid w:val="00970D3C"/>
    <w:rsid w:val="00971A14"/>
    <w:rsid w:val="00975440"/>
    <w:rsid w:val="00975A16"/>
    <w:rsid w:val="00976113"/>
    <w:rsid w:val="00977E1D"/>
    <w:rsid w:val="00980373"/>
    <w:rsid w:val="00980394"/>
    <w:rsid w:val="00982A88"/>
    <w:rsid w:val="00985535"/>
    <w:rsid w:val="009919A3"/>
    <w:rsid w:val="00996A54"/>
    <w:rsid w:val="00997744"/>
    <w:rsid w:val="009A2D2B"/>
    <w:rsid w:val="009A4337"/>
    <w:rsid w:val="009A51CC"/>
    <w:rsid w:val="009A52DC"/>
    <w:rsid w:val="009B227B"/>
    <w:rsid w:val="009B602E"/>
    <w:rsid w:val="009B6C1A"/>
    <w:rsid w:val="009C787D"/>
    <w:rsid w:val="009D341F"/>
    <w:rsid w:val="009D7F56"/>
    <w:rsid w:val="009E34DF"/>
    <w:rsid w:val="009F0431"/>
    <w:rsid w:val="009F0FAF"/>
    <w:rsid w:val="009F243A"/>
    <w:rsid w:val="009F32C2"/>
    <w:rsid w:val="009F544F"/>
    <w:rsid w:val="009F5670"/>
    <w:rsid w:val="009F6DBE"/>
    <w:rsid w:val="00A020F4"/>
    <w:rsid w:val="00A118E8"/>
    <w:rsid w:val="00A13DDC"/>
    <w:rsid w:val="00A1678F"/>
    <w:rsid w:val="00A17B37"/>
    <w:rsid w:val="00A200EE"/>
    <w:rsid w:val="00A20F36"/>
    <w:rsid w:val="00A21230"/>
    <w:rsid w:val="00A22B78"/>
    <w:rsid w:val="00A2461A"/>
    <w:rsid w:val="00A25AE5"/>
    <w:rsid w:val="00A313E5"/>
    <w:rsid w:val="00A34CCC"/>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CA7"/>
    <w:rsid w:val="00AC7172"/>
    <w:rsid w:val="00AD1216"/>
    <w:rsid w:val="00AE2475"/>
    <w:rsid w:val="00AE4E14"/>
    <w:rsid w:val="00AF0857"/>
    <w:rsid w:val="00AF21F5"/>
    <w:rsid w:val="00B0082E"/>
    <w:rsid w:val="00B02489"/>
    <w:rsid w:val="00B07A4B"/>
    <w:rsid w:val="00B13C57"/>
    <w:rsid w:val="00B14CF0"/>
    <w:rsid w:val="00B16B9B"/>
    <w:rsid w:val="00B171F0"/>
    <w:rsid w:val="00B236CB"/>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2C23"/>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C63"/>
    <w:rsid w:val="00BE5F1B"/>
    <w:rsid w:val="00BE6B0A"/>
    <w:rsid w:val="00BE7C72"/>
    <w:rsid w:val="00BF168E"/>
    <w:rsid w:val="00BF2218"/>
    <w:rsid w:val="00C03DB4"/>
    <w:rsid w:val="00C07FAE"/>
    <w:rsid w:val="00C12E65"/>
    <w:rsid w:val="00C14AFE"/>
    <w:rsid w:val="00C219F1"/>
    <w:rsid w:val="00C25509"/>
    <w:rsid w:val="00C27CD5"/>
    <w:rsid w:val="00C36DF3"/>
    <w:rsid w:val="00C44972"/>
    <w:rsid w:val="00C47463"/>
    <w:rsid w:val="00C517AB"/>
    <w:rsid w:val="00C52E17"/>
    <w:rsid w:val="00C530CB"/>
    <w:rsid w:val="00C53BF0"/>
    <w:rsid w:val="00C67D92"/>
    <w:rsid w:val="00C707CE"/>
    <w:rsid w:val="00C716D6"/>
    <w:rsid w:val="00CA22D5"/>
    <w:rsid w:val="00CA6ADC"/>
    <w:rsid w:val="00CA7DDF"/>
    <w:rsid w:val="00CB24C3"/>
    <w:rsid w:val="00CB580F"/>
    <w:rsid w:val="00CB5A09"/>
    <w:rsid w:val="00CC012F"/>
    <w:rsid w:val="00CC2C6A"/>
    <w:rsid w:val="00CC470A"/>
    <w:rsid w:val="00CD7492"/>
    <w:rsid w:val="00CE2443"/>
    <w:rsid w:val="00CE2BEE"/>
    <w:rsid w:val="00CE3A6B"/>
    <w:rsid w:val="00CF17A8"/>
    <w:rsid w:val="00CF4364"/>
    <w:rsid w:val="00CF4F06"/>
    <w:rsid w:val="00D00211"/>
    <w:rsid w:val="00D01D07"/>
    <w:rsid w:val="00D03530"/>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247CC"/>
    <w:rsid w:val="00E257DE"/>
    <w:rsid w:val="00E3080C"/>
    <w:rsid w:val="00E30ADB"/>
    <w:rsid w:val="00E34909"/>
    <w:rsid w:val="00E403A7"/>
    <w:rsid w:val="00E4069D"/>
    <w:rsid w:val="00E42707"/>
    <w:rsid w:val="00E50C7F"/>
    <w:rsid w:val="00E61110"/>
    <w:rsid w:val="00E64435"/>
    <w:rsid w:val="00E6704F"/>
    <w:rsid w:val="00E72B96"/>
    <w:rsid w:val="00E85529"/>
    <w:rsid w:val="00E8590A"/>
    <w:rsid w:val="00E86FB4"/>
    <w:rsid w:val="00E91A5B"/>
    <w:rsid w:val="00EA0C50"/>
    <w:rsid w:val="00EA2462"/>
    <w:rsid w:val="00EA2CB2"/>
    <w:rsid w:val="00EA3482"/>
    <w:rsid w:val="00EA3B6F"/>
    <w:rsid w:val="00EA3EA9"/>
    <w:rsid w:val="00EA69DF"/>
    <w:rsid w:val="00EC0BD8"/>
    <w:rsid w:val="00EC184E"/>
    <w:rsid w:val="00EC2A9C"/>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362C"/>
    <w:rsid w:val="00F168D2"/>
    <w:rsid w:val="00F21025"/>
    <w:rsid w:val="00F21A14"/>
    <w:rsid w:val="00F224D6"/>
    <w:rsid w:val="00F421DD"/>
    <w:rsid w:val="00F42B07"/>
    <w:rsid w:val="00F4761D"/>
    <w:rsid w:val="00F64578"/>
    <w:rsid w:val="00F657A2"/>
    <w:rsid w:val="00F72507"/>
    <w:rsid w:val="00F72ED0"/>
    <w:rsid w:val="00F7450D"/>
    <w:rsid w:val="00F824F5"/>
    <w:rsid w:val="00F83877"/>
    <w:rsid w:val="00F84643"/>
    <w:rsid w:val="00F84BA1"/>
    <w:rsid w:val="00F85D40"/>
    <w:rsid w:val="00F87098"/>
    <w:rsid w:val="00F95D1B"/>
    <w:rsid w:val="00FA0EDC"/>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9B3759D"/>
    <w:rsid w:val="11FABD2C"/>
    <w:rsid w:val="30B6439F"/>
    <w:rsid w:val="3AB671B9"/>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qFormat/>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2313367">
      <w:bodyDiv w:val="1"/>
      <w:marLeft w:val="0"/>
      <w:marRight w:val="0"/>
      <w:marTop w:val="0"/>
      <w:marBottom w:val="0"/>
      <w:divBdr>
        <w:top w:val="none" w:sz="0" w:space="0" w:color="auto"/>
        <w:left w:val="none" w:sz="0" w:space="0" w:color="auto"/>
        <w:bottom w:val="none" w:sz="0" w:space="0" w:color="auto"/>
        <w:right w:val="none" w:sz="0" w:space="0" w:color="auto"/>
      </w:divBdr>
      <w:divsChild>
        <w:div w:id="2121991448">
          <w:marLeft w:val="360"/>
          <w:marRight w:val="0"/>
          <w:marTop w:val="200"/>
          <w:marBottom w:val="0"/>
          <w:divBdr>
            <w:top w:val="none" w:sz="0" w:space="0" w:color="auto"/>
            <w:left w:val="none" w:sz="0" w:space="0" w:color="auto"/>
            <w:bottom w:val="none" w:sz="0" w:space="0" w:color="auto"/>
            <w:right w:val="none" w:sz="0" w:space="0" w:color="auto"/>
          </w:divBdr>
        </w:div>
      </w:divsChild>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1231691298">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221142009">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4358339">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795639704">
          <w:marLeft w:val="360"/>
          <w:marRight w:val="0"/>
          <w:marTop w:val="2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7701667">
          <w:marLeft w:val="1080"/>
          <w:marRight w:val="0"/>
          <w:marTop w:val="1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190488930">
          <w:marLeft w:val="360"/>
          <w:marRight w:val="0"/>
          <w:marTop w:val="2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43477288">
          <w:marLeft w:val="360"/>
          <w:marRight w:val="0"/>
          <w:marTop w:val="2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4716448">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5AIRPNAIUNRU-1328258698-737</_dlc_DocId>
    <_dlc_DocIdUrl xmlns="71c5aaf6-e6ce-465b-b873-5148d2a4c105">
      <Url>https://nokia.sharepoint.com/sites/c5g/5gradio/_layouts/15/DocIdRedir.aspx?ID=5AIRPNAIUNRU-1328258698-737</Url>
      <Description>5AIRPNAIUNRU-1328258698-737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2.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4.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5.xml><?xml version="1.0" encoding="utf-8"?>
<ds:datastoreItem xmlns:ds="http://schemas.openxmlformats.org/officeDocument/2006/customXml" ds:itemID="{7A024E43-542D-4C09-95A3-18D02C290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AB62CA-83CA-4267-997B-6D3E7186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1190</Words>
  <Characters>7261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3</cp:revision>
  <cp:lastPrinted>2019-04-01T08:54:00Z</cp:lastPrinted>
  <dcterms:created xsi:type="dcterms:W3CDTF">2020-02-14T12:58:00Z</dcterms:created>
  <dcterms:modified xsi:type="dcterms:W3CDTF">2020-02-14T12:59:00Z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52b3bf2a-be3f-4016-bff0-5d327f6fa67a</vt:lpwstr>
  </property>
  <property fmtid="{D5CDD505-2E9C-101B-9397-08002B2CF9AE}" pid="4" name="AuthorIds_UIVersion_512">
    <vt:lpwstr>18279</vt:lpwstr>
  </property>
</Properties>
</file>